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C0" w:rsidRPr="007F47C0" w:rsidRDefault="007F47C0" w:rsidP="007F47C0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8"/>
          <w:lang w:val="en-GB" w:eastAsia="sv-SE"/>
        </w:rPr>
      </w:pPr>
      <w:bookmarkStart w:id="0" w:name="_GoBack"/>
      <w:bookmarkEnd w:id="0"/>
      <w:r w:rsidRPr="007F47C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8"/>
          <w:lang w:val="en-GB" w:eastAsia="sv-SE"/>
        </w:rPr>
        <w:t xml:space="preserve">Cooperation </w:t>
      </w:r>
      <w:proofErr w:type="spellStart"/>
      <w:r w:rsidRPr="007F47C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8"/>
          <w:lang w:val="en-GB" w:eastAsia="sv-SE"/>
        </w:rPr>
        <w:t>KemI</w:t>
      </w:r>
      <w:proofErr w:type="spellEnd"/>
      <w:r w:rsidRPr="007F47C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8"/>
          <w:lang w:val="en-GB" w:eastAsia="sv-SE"/>
        </w:rPr>
        <w:t xml:space="preserve"> – Ministry of Environment of Brazil</w:t>
      </w:r>
    </w:p>
    <w:p w:rsidR="007F47C0" w:rsidRPr="007F47C0" w:rsidRDefault="007F47C0" w:rsidP="007F47C0">
      <w:pPr>
        <w:rPr>
          <w:sz w:val="16"/>
        </w:rPr>
      </w:pPr>
      <w:r w:rsidRPr="007F47C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8"/>
          <w:lang w:val="en-GB" w:eastAsia="sv-SE"/>
        </w:rPr>
        <w:t>Possible workshops topics, based on ITP modules</w:t>
      </w:r>
    </w:p>
    <w:tbl>
      <w:tblPr>
        <w:tblStyle w:val="Tabellrutnt"/>
        <w:tblW w:w="918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FC27A5" w:rsidRPr="007F47C0" w:rsidTr="00FC27A5">
        <w:trPr>
          <w:trHeight w:val="137"/>
        </w:trPr>
        <w:tc>
          <w:tcPr>
            <w:tcW w:w="9180" w:type="dxa"/>
            <w:shd w:val="clear" w:color="auto" w:fill="FFC000"/>
          </w:tcPr>
          <w:p w:rsidR="00FC27A5" w:rsidRPr="00AA6251" w:rsidRDefault="00FC27A5" w:rsidP="00FC27A5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International Training Programme “Strategies for Chemicals Management”</w:t>
            </w:r>
          </w:p>
        </w:tc>
      </w:tr>
      <w:tr w:rsidR="00FC27A5" w:rsidRPr="007F47C0" w:rsidTr="00FC27A5">
        <w:trPr>
          <w:trHeight w:val="137"/>
        </w:trPr>
        <w:tc>
          <w:tcPr>
            <w:tcW w:w="9180" w:type="dxa"/>
            <w:shd w:val="clear" w:color="auto" w:fill="auto"/>
          </w:tcPr>
          <w:p w:rsidR="00FC27A5" w:rsidRDefault="00FC27A5" w:rsidP="007F47C0">
            <w:pP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</w:pPr>
            <w: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  <w:t>25 participants</w:t>
            </w:r>
          </w:p>
          <w:p w:rsidR="00FC27A5" w:rsidRDefault="00FC27A5" w:rsidP="007F47C0">
            <w:pP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</w:pPr>
            <w: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  <w:t>Twice a year 2013-2016</w:t>
            </w:r>
          </w:p>
          <w:p w:rsidR="00FC27A5" w:rsidRDefault="00FC27A5" w:rsidP="007F47C0">
            <w:pP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</w:pPr>
            <w: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  <w:t>3½ weeks in Stockholm</w:t>
            </w:r>
          </w:p>
          <w:p w:rsidR="00FC27A5" w:rsidRDefault="00FC27A5" w:rsidP="007F47C0">
            <w:pP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</w:pPr>
            <w: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  <w:t>Development project</w:t>
            </w:r>
          </w:p>
          <w:p w:rsidR="00FC27A5" w:rsidRPr="00FC27A5" w:rsidRDefault="00FC27A5" w:rsidP="00FC27A5">
            <w:pP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</w:pPr>
            <w:r>
              <w:rPr>
                <w:rFonts w:ascii="Times New Roman" w:hAnsi="Times New Roman" w:cs="Times New Roman"/>
                <w:bCs/>
                <w:iCs/>
                <w:szCs w:val="24"/>
                <w:lang w:eastAsia="sv-SE"/>
              </w:rPr>
              <w:t>One week follow-up seminar in one of the participating countries</w:t>
            </w:r>
          </w:p>
        </w:tc>
      </w:tr>
      <w:tr w:rsidR="007F47C0" w:rsidRPr="007F47C0" w:rsidTr="00164151">
        <w:trPr>
          <w:trHeight w:val="137"/>
        </w:trPr>
        <w:tc>
          <w:tcPr>
            <w:tcW w:w="9180" w:type="dxa"/>
            <w:shd w:val="clear" w:color="auto" w:fill="FFFF00"/>
            <w:hideMark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Occurrence and use of chemicals</w:t>
            </w:r>
          </w:p>
        </w:tc>
      </w:tr>
      <w:tr w:rsidR="007F47C0" w:rsidRPr="007F47C0" w:rsidTr="00164151">
        <w:trPr>
          <w:trHeight w:val="56"/>
        </w:trPr>
        <w:tc>
          <w:tcPr>
            <w:tcW w:w="9180" w:type="dxa"/>
          </w:tcPr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>Definitions, needs and inventories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International data sources</w:t>
            </w:r>
          </w:p>
        </w:tc>
      </w:tr>
      <w:tr w:rsidR="007F47C0" w:rsidRPr="007F47C0" w:rsidTr="00164151">
        <w:trPr>
          <w:trHeight w:val="300"/>
        </w:trPr>
        <w:tc>
          <w:tcPr>
            <w:tcW w:w="9180" w:type="dxa"/>
            <w:shd w:val="clear" w:color="auto" w:fill="FFFF00"/>
            <w:hideMark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The need for chemicals management</w:t>
            </w:r>
          </w:p>
        </w:tc>
      </w:tr>
      <w:tr w:rsidR="007F47C0" w:rsidRPr="007F47C0" w:rsidTr="00164151">
        <w:trPr>
          <w:trHeight w:val="96"/>
        </w:trPr>
        <w:tc>
          <w:tcPr>
            <w:tcW w:w="9180" w:type="dxa"/>
          </w:tcPr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>Identification of chemical</w:t>
            </w: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s (substances and mixtures)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Why do we need chemicals control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Benefits of action – cost of inaction</w:t>
            </w:r>
          </w:p>
        </w:tc>
      </w:tr>
      <w:tr w:rsidR="007F47C0" w:rsidRPr="007F47C0" w:rsidTr="00164151">
        <w:trPr>
          <w:trHeight w:val="117"/>
        </w:trPr>
        <w:tc>
          <w:tcPr>
            <w:tcW w:w="9180" w:type="dxa"/>
            <w:shd w:val="clear" w:color="auto" w:fill="FFFF00"/>
            <w:hideMark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Principles and basic elements of chemicals management</w:t>
            </w:r>
          </w:p>
        </w:tc>
      </w:tr>
      <w:tr w:rsidR="007F47C0" w:rsidRPr="007F47C0" w:rsidTr="00164151">
        <w:trPr>
          <w:trHeight w:val="330"/>
        </w:trPr>
        <w:tc>
          <w:tcPr>
            <w:tcW w:w="9180" w:type="dxa"/>
          </w:tcPr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 xml:space="preserve">Scope of </w:t>
            </w: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 xml:space="preserve">chemicals </w:t>
            </w: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>legislation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Institutional development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Stakeholder involvement</w:t>
            </w: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 xml:space="preserve"> 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>Allocation of responsibilities and costs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Global Chemicals Outlook and LIRA Guidance</w:t>
            </w:r>
          </w:p>
        </w:tc>
      </w:tr>
      <w:tr w:rsidR="007F47C0" w:rsidRPr="007F47C0" w:rsidTr="00164151">
        <w:trPr>
          <w:trHeight w:val="197"/>
        </w:trPr>
        <w:tc>
          <w:tcPr>
            <w:tcW w:w="9180" w:type="dxa"/>
            <w:shd w:val="clear" w:color="auto" w:fill="FFFF00"/>
            <w:hideMark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Classification and labelling of chemicals</w:t>
            </w:r>
            <w:r w:rsidR="000D1837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 xml:space="preserve"> – the Globally Harmonized System</w:t>
            </w:r>
          </w:p>
        </w:tc>
      </w:tr>
      <w:tr w:rsidR="007F47C0" w:rsidRPr="007F47C0" w:rsidTr="00164151">
        <w:trPr>
          <w:trHeight w:val="285"/>
        </w:trPr>
        <w:tc>
          <w:tcPr>
            <w:tcW w:w="9180" w:type="dxa"/>
          </w:tcPr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eastAsia="sv-SE"/>
              </w:rPr>
              <w:t>Intrinsic hazardous properties (physical hazards, health hazards, environmental hazards)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eastAsia="sv-SE"/>
              </w:rPr>
              <w:t xml:space="preserve">Scope and elements of the </w:t>
            </w:r>
            <w:r w:rsidRPr="00AA6251">
              <w:rPr>
                <w:rFonts w:ascii="Times New Roman" w:hAnsi="Times New Roman" w:cs="Times New Roman"/>
                <w:szCs w:val="24"/>
                <w:lang w:eastAsia="sv-SE"/>
              </w:rPr>
              <w:t>GHS</w:t>
            </w:r>
            <w:r w:rsidRPr="007F47C0">
              <w:rPr>
                <w:rFonts w:ascii="Times New Roman" w:hAnsi="Times New Roman" w:cs="Times New Roman"/>
                <w:szCs w:val="24"/>
                <w:lang w:eastAsia="sv-SE"/>
              </w:rPr>
              <w:t xml:space="preserve">: hazard assessment (classification), </w:t>
            </w:r>
            <w:proofErr w:type="spellStart"/>
            <w:r w:rsidRPr="007F47C0">
              <w:rPr>
                <w:rFonts w:ascii="Times New Roman" w:hAnsi="Times New Roman" w:cs="Times New Roman"/>
                <w:szCs w:val="24"/>
                <w:lang w:eastAsia="sv-SE"/>
              </w:rPr>
              <w:t>labelling</w:t>
            </w:r>
            <w:proofErr w:type="spellEnd"/>
            <w:r w:rsidRPr="007F47C0">
              <w:rPr>
                <w:rFonts w:ascii="Times New Roman" w:hAnsi="Times New Roman" w:cs="Times New Roman"/>
                <w:szCs w:val="24"/>
                <w:lang w:eastAsia="sv-SE"/>
              </w:rPr>
              <w:t xml:space="preserve"> and safety data sheets</w:t>
            </w:r>
          </w:p>
          <w:p w:rsidR="007F47C0" w:rsidRDefault="007F47C0" w:rsidP="007F47C0">
            <w:pPr>
              <w:rPr>
                <w:rFonts w:ascii="Times New Roman" w:hAnsi="Times New Roman" w:cs="Times New Roman"/>
                <w:szCs w:val="24"/>
                <w:lang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eastAsia="sv-SE"/>
              </w:rPr>
              <w:t>Implementing GHS</w:t>
            </w:r>
          </w:p>
          <w:p w:rsidR="000D1837" w:rsidRPr="00AA6251" w:rsidRDefault="000D1837" w:rsidP="007F47C0">
            <w:pPr>
              <w:rPr>
                <w:rFonts w:ascii="Times New Roman" w:hAnsi="Times New Roman" w:cs="Times New Roman"/>
                <w:szCs w:val="24"/>
                <w:lang w:eastAsia="sv-SE"/>
              </w:rPr>
            </w:pPr>
            <w:r>
              <w:rPr>
                <w:rFonts w:ascii="Times New Roman" w:hAnsi="Times New Roman" w:cs="Times New Roman"/>
                <w:szCs w:val="24"/>
                <w:lang w:eastAsia="sv-SE"/>
              </w:rPr>
              <w:t>Application of GHS</w:t>
            </w:r>
          </w:p>
        </w:tc>
      </w:tr>
      <w:tr w:rsidR="007F47C0" w:rsidRPr="007F47C0" w:rsidTr="00164151">
        <w:trPr>
          <w:trHeight w:val="283"/>
        </w:trPr>
        <w:tc>
          <w:tcPr>
            <w:tcW w:w="9180" w:type="dxa"/>
            <w:shd w:val="clear" w:color="auto" w:fill="FFFF00"/>
            <w:hideMark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R</w:t>
            </w:r>
            <w:r w:rsidRPr="00AA6251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isk assessment</w:t>
            </w:r>
            <w:r w:rsidRPr="007F47C0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 xml:space="preserve"> and “safe use”</w:t>
            </w:r>
          </w:p>
        </w:tc>
      </w:tr>
      <w:tr w:rsidR="007F47C0" w:rsidRPr="007F47C0" w:rsidTr="00164151">
        <w:trPr>
          <w:trHeight w:val="300"/>
        </w:trPr>
        <w:tc>
          <w:tcPr>
            <w:tcW w:w="9180" w:type="dxa"/>
          </w:tcPr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Environmental risk assessment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Health risk assessment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Risk assessment of pesticides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Toward a non-toxic environment and “safe use” of chemicals</w:t>
            </w:r>
          </w:p>
        </w:tc>
      </w:tr>
      <w:tr w:rsidR="007F47C0" w:rsidRPr="007F47C0" w:rsidTr="00164151">
        <w:trPr>
          <w:trHeight w:val="56"/>
        </w:trPr>
        <w:tc>
          <w:tcPr>
            <w:tcW w:w="9180" w:type="dxa"/>
            <w:shd w:val="clear" w:color="auto" w:fill="FFFF00"/>
            <w:hideMark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Risk management</w:t>
            </w:r>
          </w:p>
        </w:tc>
      </w:tr>
      <w:tr w:rsidR="007F47C0" w:rsidRPr="007F47C0" w:rsidTr="00164151">
        <w:trPr>
          <w:trHeight w:val="130"/>
        </w:trPr>
        <w:tc>
          <w:tcPr>
            <w:tcW w:w="9180" w:type="dxa"/>
          </w:tcPr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 xml:space="preserve">Approaches to </w:t>
            </w: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 xml:space="preserve">risk reduction 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>Economic analysis and policy instruments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International conventions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Pesticide risk management</w:t>
            </w:r>
          </w:p>
        </w:tc>
      </w:tr>
      <w:tr w:rsidR="007F47C0" w:rsidRPr="007F47C0" w:rsidTr="00164151">
        <w:trPr>
          <w:trHeight w:val="56"/>
        </w:trPr>
        <w:tc>
          <w:tcPr>
            <w:tcW w:w="9180" w:type="dxa"/>
            <w:shd w:val="clear" w:color="auto" w:fill="FFFF00"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 xml:space="preserve"> Enforcement</w:t>
            </w:r>
          </w:p>
        </w:tc>
      </w:tr>
      <w:tr w:rsidR="007F47C0" w:rsidRPr="007F47C0" w:rsidTr="00164151">
        <w:trPr>
          <w:trHeight w:val="285"/>
        </w:trPr>
        <w:tc>
          <w:tcPr>
            <w:tcW w:w="9180" w:type="dxa"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Scope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 xml:space="preserve">Organisation </w:t>
            </w: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(local-regional-national)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Stakeholder responsibilities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AA6251">
              <w:rPr>
                <w:rFonts w:ascii="Times New Roman" w:hAnsi="Times New Roman" w:cs="Times New Roman"/>
                <w:szCs w:val="24"/>
                <w:lang w:val="en-GB" w:eastAsia="sv-SE"/>
              </w:rPr>
              <w:t>Methodology and strategies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Guidance and education</w:t>
            </w:r>
          </w:p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Enforcement cooperation</w:t>
            </w:r>
          </w:p>
        </w:tc>
      </w:tr>
      <w:tr w:rsidR="007F47C0" w:rsidRPr="007F47C0" w:rsidTr="00FC27A5">
        <w:trPr>
          <w:trHeight w:val="285"/>
        </w:trPr>
        <w:tc>
          <w:tcPr>
            <w:tcW w:w="9180" w:type="dxa"/>
            <w:shd w:val="clear" w:color="auto" w:fill="92D050"/>
          </w:tcPr>
          <w:p w:rsidR="007F47C0" w:rsidRPr="007F47C0" w:rsidRDefault="007F47C0" w:rsidP="007F47C0">
            <w:pPr>
              <w:rPr>
                <w:rFonts w:ascii="Times New Roman" w:hAnsi="Times New Roman" w:cs="Times New Roman"/>
                <w:b/>
                <w:i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b/>
                <w:i/>
                <w:szCs w:val="24"/>
                <w:lang w:val="en-GB" w:eastAsia="sv-SE"/>
              </w:rPr>
              <w:t>Mercury</w:t>
            </w:r>
          </w:p>
        </w:tc>
      </w:tr>
      <w:tr w:rsidR="007F47C0" w:rsidRPr="007F47C0" w:rsidTr="00164151">
        <w:trPr>
          <w:trHeight w:val="285"/>
        </w:trPr>
        <w:tc>
          <w:tcPr>
            <w:tcW w:w="9180" w:type="dxa"/>
          </w:tcPr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Towards a global mercury convention</w:t>
            </w:r>
          </w:p>
          <w:p w:rsidR="007F47C0" w:rsidRPr="007F47C0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Swedish experiences on mercury phase-out</w:t>
            </w:r>
          </w:p>
        </w:tc>
      </w:tr>
      <w:tr w:rsidR="007F47C0" w:rsidRPr="007F47C0" w:rsidTr="00FC27A5">
        <w:trPr>
          <w:trHeight w:val="56"/>
        </w:trPr>
        <w:tc>
          <w:tcPr>
            <w:tcW w:w="9180" w:type="dxa"/>
            <w:shd w:val="clear" w:color="auto" w:fill="92D050"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b/>
                <w:bCs/>
                <w:i/>
                <w:iCs/>
                <w:szCs w:val="24"/>
                <w:lang w:val="en-GB" w:eastAsia="sv-SE"/>
              </w:rPr>
              <w:t>Chemicals in articles</w:t>
            </w:r>
          </w:p>
        </w:tc>
      </w:tr>
      <w:tr w:rsidR="007F47C0" w:rsidRPr="007F47C0" w:rsidTr="00164151">
        <w:trPr>
          <w:trHeight w:val="285"/>
        </w:trPr>
        <w:tc>
          <w:tcPr>
            <w:tcW w:w="9180" w:type="dxa"/>
          </w:tcPr>
          <w:p w:rsidR="007F47C0" w:rsidRPr="00AA6251" w:rsidRDefault="007F47C0" w:rsidP="007F47C0">
            <w:pPr>
              <w:rPr>
                <w:rFonts w:ascii="Times New Roman" w:hAnsi="Times New Roman" w:cs="Times New Roman"/>
                <w:szCs w:val="24"/>
                <w:lang w:val="en-GB" w:eastAsia="sv-SE"/>
              </w:rPr>
            </w:pPr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 xml:space="preserve">Toys, textiles </w:t>
            </w:r>
            <w:proofErr w:type="spellStart"/>
            <w:r w:rsidRPr="007F47C0">
              <w:rPr>
                <w:rFonts w:ascii="Times New Roman" w:hAnsi="Times New Roman" w:cs="Times New Roman"/>
                <w:szCs w:val="24"/>
                <w:lang w:val="en-GB" w:eastAsia="sv-SE"/>
              </w:rPr>
              <w:t>etc</w:t>
            </w:r>
            <w:proofErr w:type="spellEnd"/>
          </w:p>
        </w:tc>
      </w:tr>
    </w:tbl>
    <w:p w:rsidR="00B771D5" w:rsidRPr="007F47C0" w:rsidRDefault="003B171A" w:rsidP="007F47C0">
      <w:pPr>
        <w:rPr>
          <w:sz w:val="16"/>
        </w:rPr>
      </w:pPr>
    </w:p>
    <w:sectPr w:rsidR="00B771D5" w:rsidRPr="007F47C0" w:rsidSect="007F47C0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251"/>
    <w:rsid w:val="000D1837"/>
    <w:rsid w:val="00151611"/>
    <w:rsid w:val="00164151"/>
    <w:rsid w:val="003661C2"/>
    <w:rsid w:val="003B171A"/>
    <w:rsid w:val="007F47C0"/>
    <w:rsid w:val="00AA6251"/>
    <w:rsid w:val="00BA6988"/>
    <w:rsid w:val="00FC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AA6251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AA6251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Kemikalieinspektionen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Lennart Dock</dc:creator>
  <cp:lastModifiedBy>Lennart Dock</cp:lastModifiedBy>
  <cp:revision>2</cp:revision>
  <dcterms:created xsi:type="dcterms:W3CDTF">2013-04-12T09:33:00Z</dcterms:created>
  <dcterms:modified xsi:type="dcterms:W3CDTF">2013-04-12T09:33:00Z</dcterms:modified>
</cp:coreProperties>
</file>